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0E0" w:rsidRDefault="007710E0" w:rsidP="007710E0">
      <w:pPr>
        <w:rPr>
          <w:b/>
          <w:bCs/>
          <w:lang w:val="en-GB"/>
        </w:rPr>
      </w:pPr>
      <w:bookmarkStart w:id="0" w:name="_GoBack"/>
      <w:bookmarkEnd w:id="0"/>
      <w:r>
        <w:rPr>
          <w:b/>
          <w:bCs/>
          <w:lang w:val="en-GB"/>
        </w:rPr>
        <w:t xml:space="preserve">Indicator 14.b.1 Example Scoring </w:t>
      </w:r>
    </w:p>
    <w:p w:rsidR="007710E0" w:rsidRDefault="007710E0" w:rsidP="007710E0">
      <w:pPr>
        <w:pStyle w:val="ListParagraph"/>
        <w:numPr>
          <w:ilvl w:val="0"/>
          <w:numId w:val="2"/>
        </w:numPr>
        <w:rPr>
          <w:bCs/>
        </w:rPr>
      </w:pPr>
      <w:r w:rsidRPr="007710E0">
        <w:rPr>
          <w:bCs/>
        </w:rPr>
        <w:t xml:space="preserve">Country A has more negative responses overall compared to Country </w:t>
      </w:r>
      <w:proofErr w:type="gramStart"/>
      <w:r w:rsidRPr="007710E0">
        <w:rPr>
          <w:bCs/>
        </w:rPr>
        <w:t>B,</w:t>
      </w:r>
      <w:proofErr w:type="gramEnd"/>
      <w:r w:rsidRPr="007710E0">
        <w:rPr>
          <w:bCs/>
        </w:rPr>
        <w:t xml:space="preserve"> however, it retains a similar indicator score. This emphasises the greater importance attributed to variable </w:t>
      </w:r>
      <w:proofErr w:type="gramStart"/>
      <w:r w:rsidRPr="007710E0">
        <w:rPr>
          <w:bCs/>
        </w:rPr>
        <w:t>1</w:t>
      </w:r>
      <w:proofErr w:type="gramEnd"/>
      <w:r w:rsidRPr="007710E0">
        <w:rPr>
          <w:bCs/>
        </w:rPr>
        <w:t>, within the context of the indicator in assessing the degree of application of a legal/regulatory/policy/institutional framework which recognizes and protects access rights for small-scale fishers.</w:t>
      </w:r>
    </w:p>
    <w:p w:rsidR="007710E0" w:rsidRPr="007710E0" w:rsidRDefault="007710E0" w:rsidP="007710E0">
      <w:pPr>
        <w:rPr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31"/>
        <w:gridCol w:w="1971"/>
        <w:gridCol w:w="1654"/>
        <w:gridCol w:w="1971"/>
        <w:gridCol w:w="1623"/>
      </w:tblGrid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  <w:vMerge w:val="restart"/>
            <w:shd w:val="clear" w:color="auto" w:fill="D9D9D9" w:themeFill="background1" w:themeFillShade="D9"/>
          </w:tcPr>
          <w:p w:rsidR="007710E0" w:rsidRPr="00CF5470" w:rsidRDefault="007710E0" w:rsidP="00D938C3">
            <w:pPr>
              <w:jc w:val="center"/>
              <w:rPr>
                <w:b/>
                <w:bCs/>
                <w:color w:val="000000"/>
                <w:lang w:val="en-GB"/>
              </w:rPr>
            </w:pPr>
            <w:r w:rsidRPr="00CF5470">
              <w:rPr>
                <w:b/>
                <w:bCs/>
                <w:color w:val="000000"/>
                <w:lang w:val="en-GB"/>
              </w:rPr>
              <w:t>Questions</w:t>
            </w:r>
            <w:r w:rsidRPr="00CF5470">
              <w:rPr>
                <w:color w:val="000000"/>
                <w:lang w:val="en-GB"/>
              </w:rPr>
              <w:t>:</w:t>
            </w:r>
          </w:p>
        </w:tc>
        <w:tc>
          <w:tcPr>
            <w:tcW w:w="3625" w:type="dxa"/>
            <w:gridSpan w:val="2"/>
            <w:shd w:val="clear" w:color="auto" w:fill="D9D9D9" w:themeFill="background1" w:themeFillShade="D9"/>
          </w:tcPr>
          <w:p w:rsidR="007710E0" w:rsidRPr="00CF5470" w:rsidRDefault="007710E0" w:rsidP="00D938C3">
            <w:pPr>
              <w:jc w:val="center"/>
              <w:rPr>
                <w:b/>
                <w:bCs/>
                <w:color w:val="000000"/>
                <w:lang w:val="en-GB"/>
              </w:rPr>
            </w:pPr>
            <w:r w:rsidRPr="00CF5470">
              <w:rPr>
                <w:b/>
                <w:bCs/>
                <w:color w:val="000000"/>
                <w:lang w:val="en-GB"/>
              </w:rPr>
              <w:t>Country A</w:t>
            </w:r>
          </w:p>
        </w:tc>
        <w:tc>
          <w:tcPr>
            <w:tcW w:w="3594" w:type="dxa"/>
            <w:gridSpan w:val="2"/>
            <w:shd w:val="clear" w:color="auto" w:fill="D9D9D9" w:themeFill="background1" w:themeFillShade="D9"/>
          </w:tcPr>
          <w:p w:rsidR="007710E0" w:rsidRPr="00CF5470" w:rsidRDefault="007710E0" w:rsidP="00D938C3">
            <w:pPr>
              <w:jc w:val="center"/>
              <w:rPr>
                <w:b/>
                <w:bCs/>
                <w:color w:val="000000"/>
                <w:lang w:val="en-GB"/>
              </w:rPr>
            </w:pPr>
            <w:r w:rsidRPr="00CF5470">
              <w:rPr>
                <w:b/>
                <w:bCs/>
                <w:color w:val="000000"/>
                <w:lang w:val="en-GB"/>
              </w:rPr>
              <w:t>Country B</w:t>
            </w: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  <w:vMerge/>
            <w:shd w:val="clear" w:color="auto" w:fill="D9D9D9" w:themeFill="background1" w:themeFillShade="D9"/>
          </w:tcPr>
          <w:p w:rsidR="007710E0" w:rsidRPr="00CF5470" w:rsidRDefault="007710E0" w:rsidP="00D938C3">
            <w:pPr>
              <w:rPr>
                <w:b/>
                <w:bCs/>
                <w:color w:val="000000"/>
                <w:lang w:val="en-GB"/>
              </w:rPr>
            </w:pPr>
          </w:p>
        </w:tc>
        <w:tc>
          <w:tcPr>
            <w:tcW w:w="1971" w:type="dxa"/>
            <w:shd w:val="clear" w:color="auto" w:fill="D9D9D9" w:themeFill="background1" w:themeFillShade="D9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b/>
                <w:lang w:val="en-GB" w:eastAsia="en-GB"/>
              </w:rPr>
            </w:pPr>
            <w:r w:rsidRPr="00CF5470">
              <w:rPr>
                <w:rFonts w:eastAsiaTheme="minorHAnsi" w:cs="Times New Roman"/>
                <w:b/>
                <w:lang w:val="en-GB" w:eastAsia="en-GB"/>
              </w:rPr>
              <w:t>Responses</w:t>
            </w:r>
          </w:p>
        </w:tc>
        <w:tc>
          <w:tcPr>
            <w:tcW w:w="1654" w:type="dxa"/>
            <w:shd w:val="clear" w:color="auto" w:fill="D9D9D9" w:themeFill="background1" w:themeFillShade="D9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b/>
                <w:lang w:val="en-GB" w:eastAsia="en-GB"/>
              </w:rPr>
            </w:pPr>
            <w:r w:rsidRPr="00CF5470">
              <w:rPr>
                <w:rFonts w:eastAsiaTheme="minorHAnsi" w:cs="Times New Roman"/>
                <w:b/>
                <w:lang w:val="en-GB" w:eastAsia="en-GB"/>
              </w:rPr>
              <w:t xml:space="preserve"> </w:t>
            </w:r>
            <w:r>
              <w:rPr>
                <w:rFonts w:eastAsiaTheme="minorHAnsi" w:cs="Times New Roman"/>
                <w:b/>
                <w:lang w:val="en-GB" w:eastAsia="en-GB"/>
              </w:rPr>
              <w:t>Variable</w:t>
            </w:r>
            <w:r w:rsidRPr="00CF5470">
              <w:rPr>
                <w:rFonts w:eastAsiaTheme="minorHAnsi" w:cs="Times New Roman"/>
                <w:b/>
                <w:lang w:val="en-GB" w:eastAsia="en-GB"/>
              </w:rPr>
              <w:t xml:space="preserve"> Score</w:t>
            </w:r>
          </w:p>
        </w:tc>
        <w:tc>
          <w:tcPr>
            <w:tcW w:w="1971" w:type="dxa"/>
            <w:shd w:val="clear" w:color="auto" w:fill="D9D9D9" w:themeFill="background1" w:themeFillShade="D9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b/>
                <w:lang w:val="en-GB" w:eastAsia="en-GB"/>
              </w:rPr>
              <w:t>Responses</w:t>
            </w:r>
          </w:p>
        </w:tc>
        <w:tc>
          <w:tcPr>
            <w:tcW w:w="1623" w:type="dxa"/>
            <w:shd w:val="clear" w:color="auto" w:fill="D9D9D9" w:themeFill="background1" w:themeFillShade="D9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b/>
                <w:lang w:val="en-GB" w:eastAsia="en-GB"/>
              </w:rPr>
            </w:pPr>
            <w:r>
              <w:rPr>
                <w:rFonts w:eastAsiaTheme="minorHAnsi" w:cs="Times New Roman"/>
                <w:b/>
                <w:lang w:val="en-GB" w:eastAsia="en-GB"/>
              </w:rPr>
              <w:t xml:space="preserve">Variable </w:t>
            </w:r>
            <w:r w:rsidRPr="00CF5470">
              <w:rPr>
                <w:rFonts w:eastAsiaTheme="minorHAnsi" w:cs="Times New Roman"/>
                <w:b/>
                <w:lang w:val="en-GB" w:eastAsia="en-GB"/>
              </w:rPr>
              <w:t>Score</w:t>
            </w: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9350" w:type="dxa"/>
            <w:gridSpan w:val="5"/>
            <w:shd w:val="clear" w:color="auto" w:fill="D9D9D9" w:themeFill="background1" w:themeFillShade="D9"/>
          </w:tcPr>
          <w:p w:rsidR="007710E0" w:rsidRPr="00CF5470" w:rsidRDefault="007710E0" w:rsidP="00D938C3">
            <w:pPr>
              <w:rPr>
                <w:color w:val="000000"/>
                <w:lang w:val="en-GB"/>
              </w:rPr>
            </w:pPr>
            <w:r w:rsidRPr="00CF5470">
              <w:rPr>
                <w:b/>
                <w:bCs/>
                <w:color w:val="000000"/>
                <w:lang w:val="en-GB"/>
              </w:rPr>
              <w:t>Variable 1.</w:t>
            </w:r>
            <w:r w:rsidRPr="00CF5470">
              <w:rPr>
                <w:b/>
                <w:color w:val="000000"/>
                <w:lang w:val="en-GB"/>
              </w:rPr>
              <w:t xml:space="preserve"> laws, regulations, policies, plans or strategies targeting SSF</w:t>
            </w:r>
            <w:r w:rsidRPr="00CF5470">
              <w:rPr>
                <w:b/>
                <w:bCs/>
                <w:color w:val="000000"/>
                <w:lang w:val="en-GB"/>
              </w:rPr>
              <w:t xml:space="preserve"> – 40%</w:t>
            </w: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1.1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Yes</w:t>
            </w:r>
          </w:p>
        </w:tc>
        <w:tc>
          <w:tcPr>
            <w:tcW w:w="1654" w:type="dxa"/>
            <w:vMerge w:val="restart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0.4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Yes</w:t>
            </w:r>
          </w:p>
        </w:tc>
        <w:tc>
          <w:tcPr>
            <w:tcW w:w="1623" w:type="dxa"/>
            <w:vMerge w:val="restart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0.3</w:t>
            </w: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  <w:shd w:val="clear" w:color="auto" w:fill="auto"/>
          </w:tcPr>
          <w:p w:rsidR="007710E0" w:rsidRPr="00CF5470" w:rsidRDefault="007710E0" w:rsidP="00D938C3">
            <w:pPr>
              <w:jc w:val="center"/>
              <w:rPr>
                <w:b/>
                <w:bCs/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1.2</w:t>
            </w:r>
          </w:p>
        </w:tc>
        <w:tc>
          <w:tcPr>
            <w:tcW w:w="1971" w:type="dxa"/>
            <w:shd w:val="clear" w:color="auto" w:fill="FFFFFF" w:themeFill="background1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Yes</w:t>
            </w:r>
          </w:p>
        </w:tc>
        <w:tc>
          <w:tcPr>
            <w:tcW w:w="1654" w:type="dxa"/>
            <w:vMerge/>
            <w:shd w:val="clear" w:color="auto" w:fill="FFFFFF" w:themeFill="background1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</w:p>
        </w:tc>
        <w:tc>
          <w:tcPr>
            <w:tcW w:w="1971" w:type="dxa"/>
            <w:shd w:val="clear" w:color="auto" w:fill="FFFFFF" w:themeFill="background1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color w:val="000000"/>
                <w:lang w:val="en-GB"/>
              </w:rPr>
              <w:t>No</w:t>
            </w:r>
          </w:p>
        </w:tc>
        <w:tc>
          <w:tcPr>
            <w:tcW w:w="1623" w:type="dxa"/>
            <w:vMerge/>
            <w:shd w:val="clear" w:color="auto" w:fill="FFFFFF" w:themeFill="background1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1.3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Yes</w:t>
            </w:r>
          </w:p>
        </w:tc>
        <w:tc>
          <w:tcPr>
            <w:tcW w:w="1654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No</w:t>
            </w:r>
          </w:p>
        </w:tc>
        <w:tc>
          <w:tcPr>
            <w:tcW w:w="1623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1.4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Yes</w:t>
            </w:r>
          </w:p>
        </w:tc>
        <w:tc>
          <w:tcPr>
            <w:tcW w:w="1654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Yes</w:t>
            </w:r>
          </w:p>
        </w:tc>
        <w:tc>
          <w:tcPr>
            <w:tcW w:w="1623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1.5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-*</w:t>
            </w:r>
          </w:p>
        </w:tc>
        <w:tc>
          <w:tcPr>
            <w:tcW w:w="1654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Yes + text*</w:t>
            </w:r>
          </w:p>
        </w:tc>
        <w:tc>
          <w:tcPr>
            <w:tcW w:w="1623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9350" w:type="dxa"/>
            <w:gridSpan w:val="5"/>
            <w:shd w:val="clear" w:color="auto" w:fill="D9D9D9" w:themeFill="background1" w:themeFillShade="D9"/>
          </w:tcPr>
          <w:p w:rsidR="007710E0" w:rsidRPr="00CF5470" w:rsidRDefault="007710E0" w:rsidP="00D938C3">
            <w:pPr>
              <w:rPr>
                <w:color w:val="000000"/>
                <w:lang w:val="en-GB"/>
              </w:rPr>
            </w:pPr>
            <w:r w:rsidRPr="00CF5470">
              <w:rPr>
                <w:b/>
                <w:bCs/>
                <w:color w:val="000000"/>
                <w:lang w:val="en-GB"/>
              </w:rPr>
              <w:t>Variable 2. I</w:t>
            </w:r>
            <w:r w:rsidRPr="00CF5470">
              <w:rPr>
                <w:b/>
                <w:color w:val="000000"/>
                <w:lang w:val="en-GB"/>
              </w:rPr>
              <w:t>nitiatives to Implement the SSF Guidelines</w:t>
            </w:r>
            <w:r w:rsidRPr="00CF5470">
              <w:rPr>
                <w:b/>
                <w:bCs/>
                <w:color w:val="000000"/>
                <w:lang w:val="en-GB"/>
              </w:rPr>
              <w:t xml:space="preserve"> – 30%</w:t>
            </w: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2.1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Yes</w:t>
            </w:r>
          </w:p>
        </w:tc>
        <w:tc>
          <w:tcPr>
            <w:tcW w:w="1654" w:type="dxa"/>
            <w:vMerge w:val="restart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</w:p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</w:p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</w:p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</w:p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0.18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Yes</w:t>
            </w:r>
          </w:p>
        </w:tc>
        <w:tc>
          <w:tcPr>
            <w:tcW w:w="1623" w:type="dxa"/>
            <w:vMerge w:val="restart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</w:p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</w:p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</w:p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</w:p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0.3</w:t>
            </w: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  <w:shd w:val="clear" w:color="auto" w:fill="auto"/>
          </w:tcPr>
          <w:p w:rsidR="007710E0" w:rsidRPr="00CF5470" w:rsidRDefault="007710E0" w:rsidP="00D938C3">
            <w:pPr>
              <w:jc w:val="center"/>
              <w:rPr>
                <w:b/>
                <w:bCs/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2.2</w:t>
            </w:r>
          </w:p>
        </w:tc>
        <w:tc>
          <w:tcPr>
            <w:tcW w:w="1971" w:type="dxa"/>
            <w:shd w:val="clear" w:color="auto" w:fill="FFFFFF" w:themeFill="background1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No</w:t>
            </w:r>
          </w:p>
        </w:tc>
        <w:tc>
          <w:tcPr>
            <w:tcW w:w="1654" w:type="dxa"/>
            <w:vMerge/>
            <w:shd w:val="clear" w:color="auto" w:fill="FFFFFF" w:themeFill="background1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</w:p>
        </w:tc>
        <w:tc>
          <w:tcPr>
            <w:tcW w:w="1971" w:type="dxa"/>
            <w:shd w:val="clear" w:color="auto" w:fill="FFFFFF" w:themeFill="background1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Yes</w:t>
            </w:r>
          </w:p>
        </w:tc>
        <w:tc>
          <w:tcPr>
            <w:tcW w:w="1623" w:type="dxa"/>
            <w:vMerge/>
            <w:shd w:val="clear" w:color="auto" w:fill="FFFFFF" w:themeFill="background1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2.3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Yes</w:t>
            </w:r>
          </w:p>
        </w:tc>
        <w:tc>
          <w:tcPr>
            <w:tcW w:w="1654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Yes</w:t>
            </w:r>
          </w:p>
        </w:tc>
        <w:tc>
          <w:tcPr>
            <w:tcW w:w="1623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2.4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No</w:t>
            </w:r>
          </w:p>
        </w:tc>
        <w:tc>
          <w:tcPr>
            <w:tcW w:w="1654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Yes</w:t>
            </w:r>
          </w:p>
        </w:tc>
        <w:tc>
          <w:tcPr>
            <w:tcW w:w="1623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2.5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Yes</w:t>
            </w:r>
          </w:p>
        </w:tc>
        <w:tc>
          <w:tcPr>
            <w:tcW w:w="1654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Yes</w:t>
            </w:r>
          </w:p>
        </w:tc>
        <w:tc>
          <w:tcPr>
            <w:tcW w:w="1623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2.6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Yes</w:t>
            </w:r>
          </w:p>
        </w:tc>
        <w:tc>
          <w:tcPr>
            <w:tcW w:w="1654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Yes</w:t>
            </w:r>
          </w:p>
        </w:tc>
        <w:tc>
          <w:tcPr>
            <w:tcW w:w="1623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2.7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Yes</w:t>
            </w:r>
          </w:p>
        </w:tc>
        <w:tc>
          <w:tcPr>
            <w:tcW w:w="1654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Yes</w:t>
            </w:r>
          </w:p>
        </w:tc>
        <w:tc>
          <w:tcPr>
            <w:tcW w:w="1623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2.8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No</w:t>
            </w:r>
          </w:p>
        </w:tc>
        <w:tc>
          <w:tcPr>
            <w:tcW w:w="1654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Yes</w:t>
            </w:r>
          </w:p>
        </w:tc>
        <w:tc>
          <w:tcPr>
            <w:tcW w:w="1623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2.9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No</w:t>
            </w:r>
          </w:p>
        </w:tc>
        <w:tc>
          <w:tcPr>
            <w:tcW w:w="1654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Yes</w:t>
            </w:r>
          </w:p>
        </w:tc>
        <w:tc>
          <w:tcPr>
            <w:tcW w:w="1623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2.10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Yes</w:t>
            </w:r>
          </w:p>
        </w:tc>
        <w:tc>
          <w:tcPr>
            <w:tcW w:w="1654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Yes</w:t>
            </w:r>
          </w:p>
        </w:tc>
        <w:tc>
          <w:tcPr>
            <w:tcW w:w="1623" w:type="dxa"/>
            <w:vMerge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9350" w:type="dxa"/>
            <w:gridSpan w:val="5"/>
            <w:shd w:val="clear" w:color="auto" w:fill="D9D9D9" w:themeFill="background1" w:themeFillShade="D9"/>
          </w:tcPr>
          <w:p w:rsidR="007710E0" w:rsidRPr="00CF5470" w:rsidRDefault="007710E0" w:rsidP="00D938C3">
            <w:pPr>
              <w:rPr>
                <w:b/>
                <w:color w:val="000000"/>
                <w:lang w:val="en-GB"/>
              </w:rPr>
            </w:pPr>
            <w:r w:rsidRPr="00CF5470">
              <w:rPr>
                <w:b/>
                <w:color w:val="000000"/>
                <w:lang w:val="en-GB"/>
              </w:rPr>
              <w:t>Variable 3. Mechanisms through which small-scale fishers and fish workers can contribute to decision-making processes – 30%</w:t>
            </w: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</w:tcPr>
          <w:p w:rsidR="007710E0" w:rsidRPr="00CF5470" w:rsidRDefault="007710E0" w:rsidP="00D938C3">
            <w:pPr>
              <w:jc w:val="center"/>
              <w:rPr>
                <w:color w:val="000000"/>
                <w:lang w:val="en-GB"/>
              </w:rPr>
            </w:pPr>
            <w:r w:rsidRPr="00CF5470">
              <w:rPr>
                <w:color w:val="000000"/>
                <w:lang w:val="en-GB"/>
              </w:rPr>
              <w:t>3.1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Yes</w:t>
            </w:r>
          </w:p>
        </w:tc>
        <w:tc>
          <w:tcPr>
            <w:tcW w:w="1654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0.3</w:t>
            </w:r>
          </w:p>
        </w:tc>
        <w:tc>
          <w:tcPr>
            <w:tcW w:w="1971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Yes</w:t>
            </w:r>
          </w:p>
        </w:tc>
        <w:tc>
          <w:tcPr>
            <w:tcW w:w="1623" w:type="dxa"/>
          </w:tcPr>
          <w:p w:rsidR="007710E0" w:rsidRPr="00CF5470" w:rsidRDefault="007710E0" w:rsidP="00D938C3">
            <w:pPr>
              <w:jc w:val="center"/>
              <w:rPr>
                <w:rFonts w:eastAsiaTheme="minorHAnsi" w:cs="Times New Roman"/>
                <w:lang w:val="en-GB" w:eastAsia="en-GB"/>
              </w:rPr>
            </w:pPr>
            <w:r w:rsidRPr="00CF5470">
              <w:rPr>
                <w:rFonts w:eastAsiaTheme="minorHAnsi" w:cs="Times New Roman"/>
                <w:lang w:val="en-GB" w:eastAsia="en-GB"/>
              </w:rPr>
              <w:t>0.3</w:t>
            </w:r>
          </w:p>
        </w:tc>
      </w:tr>
      <w:tr w:rsidR="007710E0" w:rsidRPr="004C0EE3" w:rsidTr="007710E0">
        <w:trPr>
          <w:trHeight w:hRule="exact" w:val="288"/>
          <w:jc w:val="center"/>
        </w:trPr>
        <w:tc>
          <w:tcPr>
            <w:tcW w:w="2131" w:type="dxa"/>
          </w:tcPr>
          <w:p w:rsidR="007710E0" w:rsidRPr="00CF5470" w:rsidRDefault="007710E0" w:rsidP="00D938C3">
            <w:pPr>
              <w:jc w:val="center"/>
              <w:rPr>
                <w:b/>
                <w:color w:val="000000"/>
                <w:lang w:val="en-GB"/>
              </w:rPr>
            </w:pPr>
            <w:r w:rsidRPr="00CF5470">
              <w:rPr>
                <w:b/>
                <w:color w:val="000000"/>
                <w:lang w:val="en-GB"/>
              </w:rPr>
              <w:t>Indicator Score</w:t>
            </w:r>
            <w:r>
              <w:rPr>
                <w:b/>
                <w:color w:val="000000"/>
                <w:lang w:val="en-GB"/>
              </w:rPr>
              <w:t>: (total of variables)</w:t>
            </w:r>
          </w:p>
        </w:tc>
        <w:tc>
          <w:tcPr>
            <w:tcW w:w="3625" w:type="dxa"/>
            <w:gridSpan w:val="2"/>
          </w:tcPr>
          <w:p w:rsidR="007710E0" w:rsidRPr="00CF5470" w:rsidRDefault="007710E0" w:rsidP="00D938C3">
            <w:pPr>
              <w:jc w:val="center"/>
              <w:rPr>
                <w:b/>
                <w:color w:val="000000"/>
                <w:lang w:val="en-GB"/>
              </w:rPr>
            </w:pPr>
            <w:r w:rsidRPr="00CF5470">
              <w:rPr>
                <w:b/>
                <w:color w:val="000000"/>
                <w:lang w:val="en-GB"/>
              </w:rPr>
              <w:t>0.88</w:t>
            </w:r>
          </w:p>
        </w:tc>
        <w:tc>
          <w:tcPr>
            <w:tcW w:w="3594" w:type="dxa"/>
            <w:gridSpan w:val="2"/>
          </w:tcPr>
          <w:p w:rsidR="007710E0" w:rsidRPr="00CF5470" w:rsidRDefault="007710E0" w:rsidP="00D938C3">
            <w:pPr>
              <w:jc w:val="center"/>
              <w:rPr>
                <w:b/>
                <w:color w:val="000000"/>
                <w:lang w:val="en-GB"/>
              </w:rPr>
            </w:pPr>
            <w:r w:rsidRPr="00CF5470">
              <w:rPr>
                <w:b/>
                <w:color w:val="000000"/>
                <w:lang w:val="en-GB"/>
              </w:rPr>
              <w:t>0.9</w:t>
            </w:r>
          </w:p>
        </w:tc>
      </w:tr>
    </w:tbl>
    <w:p w:rsidR="007710E0" w:rsidRPr="00CF5470" w:rsidRDefault="007710E0" w:rsidP="007710E0">
      <w:pPr>
        <w:rPr>
          <w:bCs/>
        </w:rPr>
      </w:pPr>
      <w:r w:rsidRPr="00CF5470">
        <w:rPr>
          <w:bCs/>
        </w:rPr>
        <w:t>*1.5 is only weighted when a response of “yes” is provided along with supporting details in the text form and there is at least one “no” in the responses of 1.1-1.4.</w:t>
      </w:r>
      <w:r w:rsidRPr="00CF5470">
        <w:rPr>
          <w:bCs/>
        </w:rPr>
        <w:br w:type="page"/>
      </w:r>
    </w:p>
    <w:p w:rsidR="007710E0" w:rsidRDefault="007710E0" w:rsidP="007710E0">
      <w:pPr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 xml:space="preserve">Indicator 14.b.1 Example Scoring </w:t>
      </w:r>
    </w:p>
    <w:p w:rsidR="001036E1" w:rsidRDefault="001036E1" w:rsidP="007710E0">
      <w:pPr>
        <w:rPr>
          <w:b/>
          <w:bCs/>
          <w:lang w:val="en-GB"/>
        </w:rPr>
      </w:pPr>
    </w:p>
    <w:p w:rsidR="007710E0" w:rsidRPr="007710E0" w:rsidRDefault="007710E0" w:rsidP="007710E0">
      <w:pPr>
        <w:rPr>
          <w:bCs/>
        </w:rPr>
      </w:pPr>
      <w:r w:rsidRPr="007710E0">
        <w:rPr>
          <w:bCs/>
        </w:rPr>
        <w:t>The general question ascertain the applicability of the instruments to a State.</w:t>
      </w:r>
    </w:p>
    <w:p w:rsidR="007710E0" w:rsidRPr="00695892" w:rsidRDefault="007710E0" w:rsidP="007710E0">
      <w:pPr>
        <w:rPr>
          <w:bCs/>
        </w:rPr>
      </w:pPr>
    </w:p>
    <w:p w:rsidR="007710E0" w:rsidRDefault="007710E0" w:rsidP="007710E0">
      <w:pPr>
        <w:pStyle w:val="ListParagraph"/>
        <w:numPr>
          <w:ilvl w:val="0"/>
          <w:numId w:val="1"/>
        </w:numPr>
        <w:rPr>
          <w:bCs/>
        </w:rPr>
      </w:pPr>
      <w:r w:rsidRPr="00352810">
        <w:rPr>
          <w:bCs/>
        </w:rPr>
        <w:t>Country A is a co</w:t>
      </w:r>
      <w:r>
        <w:rPr>
          <w:bCs/>
        </w:rPr>
        <w:t>a</w:t>
      </w:r>
      <w:r w:rsidRPr="00352810">
        <w:rPr>
          <w:bCs/>
        </w:rPr>
        <w:t xml:space="preserve">stal State, port State and flag State with </w:t>
      </w:r>
      <w:r>
        <w:rPr>
          <w:bCs/>
        </w:rPr>
        <w:t>high</w:t>
      </w:r>
      <w:r w:rsidRPr="00352810">
        <w:rPr>
          <w:bCs/>
        </w:rPr>
        <w:t xml:space="preserve"> levels of </w:t>
      </w:r>
      <w:r>
        <w:rPr>
          <w:bCs/>
        </w:rPr>
        <w:t>implementation of instruments to combat IUU fishing.</w:t>
      </w:r>
    </w:p>
    <w:p w:rsidR="007710E0" w:rsidRPr="001036E1" w:rsidRDefault="007710E0" w:rsidP="007710E0">
      <w:pPr>
        <w:ind w:left="360"/>
        <w:rPr>
          <w:bCs/>
          <w:lang w:val="en-GB"/>
        </w:rPr>
      </w:pPr>
    </w:p>
    <w:p w:rsidR="007710E0" w:rsidRDefault="007710E0" w:rsidP="007710E0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 xml:space="preserve">Country B is </w:t>
      </w:r>
      <w:r w:rsidRPr="00352810">
        <w:rPr>
          <w:bCs/>
        </w:rPr>
        <w:t>a co</w:t>
      </w:r>
      <w:r>
        <w:rPr>
          <w:bCs/>
        </w:rPr>
        <w:t>a</w:t>
      </w:r>
      <w:r w:rsidRPr="00352810">
        <w:rPr>
          <w:bCs/>
        </w:rPr>
        <w:t>stal State, port State and flag State</w:t>
      </w:r>
      <w:r>
        <w:rPr>
          <w:bCs/>
        </w:rPr>
        <w:t xml:space="preserve"> </w:t>
      </w:r>
      <w:r w:rsidRPr="00352810">
        <w:rPr>
          <w:bCs/>
        </w:rPr>
        <w:t xml:space="preserve">with </w:t>
      </w:r>
      <w:r>
        <w:rPr>
          <w:bCs/>
        </w:rPr>
        <w:t>very low</w:t>
      </w:r>
      <w:r w:rsidRPr="00352810">
        <w:rPr>
          <w:bCs/>
        </w:rPr>
        <w:t xml:space="preserve"> levels of </w:t>
      </w:r>
      <w:r>
        <w:rPr>
          <w:bCs/>
        </w:rPr>
        <w:t>implementation of instruments to combat IUU fishing, however it still scores some points for initiating the processes of becoming a party to certain agreements and base implementation of UNCLOS.</w:t>
      </w:r>
    </w:p>
    <w:p w:rsidR="007710E0" w:rsidRPr="001036E1" w:rsidRDefault="007710E0" w:rsidP="007710E0">
      <w:pPr>
        <w:ind w:left="360"/>
        <w:rPr>
          <w:bCs/>
          <w:lang w:val="en-GB"/>
        </w:rPr>
      </w:pPr>
    </w:p>
    <w:p w:rsidR="007710E0" w:rsidRDefault="007710E0" w:rsidP="007710E0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Country C is a coastal State and port State but does not flag any vessels conducting fishing or fishing related activities. It is not a party to any of the agreements but has a high level of</w:t>
      </w:r>
      <w:r w:rsidRPr="002257A2">
        <w:rPr>
          <w:bCs/>
        </w:rPr>
        <w:t xml:space="preserve"> </w:t>
      </w:r>
      <w:r>
        <w:rPr>
          <w:bCs/>
        </w:rPr>
        <w:t xml:space="preserve">implementation of instruments to combat IUU fishing to which it is applicable. </w:t>
      </w:r>
    </w:p>
    <w:p w:rsidR="007710E0" w:rsidRDefault="007710E0">
      <w:pPr>
        <w:spacing w:after="160" w:line="259" w:lineRule="auto"/>
        <w:rPr>
          <w:rFonts w:ascii="Calibri" w:eastAsiaTheme="minorHAnsi" w:hAnsi="Calibri" w:cs="Times New Roman"/>
          <w:bCs/>
          <w:lang w:val="en-GB" w:eastAsia="en-GB"/>
        </w:rPr>
      </w:pPr>
      <w:r>
        <w:rPr>
          <w:rFonts w:ascii="Calibri" w:eastAsiaTheme="minorHAnsi" w:hAnsi="Calibri" w:cs="Times New Roman"/>
          <w:bCs/>
          <w:lang w:val="en-GB" w:eastAsia="en-GB"/>
        </w:rPr>
        <w:br w:type="page"/>
      </w:r>
    </w:p>
    <w:p w:rsidR="007710E0" w:rsidRDefault="007710E0" w:rsidP="007710E0">
      <w:pPr>
        <w:rPr>
          <w:rFonts w:ascii="Calibri" w:eastAsiaTheme="minorHAnsi" w:hAnsi="Calibri" w:cs="Times New Roman"/>
          <w:bCs/>
          <w:lang w:val="en-GB" w:eastAsia="en-GB"/>
        </w:rPr>
      </w:pPr>
    </w:p>
    <w:tbl>
      <w:tblPr>
        <w:tblStyle w:val="TableGrid"/>
        <w:tblW w:w="10573" w:type="dxa"/>
        <w:jc w:val="center"/>
        <w:tblLook w:val="04A0" w:firstRow="1" w:lastRow="0" w:firstColumn="1" w:lastColumn="0" w:noHBand="0" w:noVBand="1"/>
      </w:tblPr>
      <w:tblGrid>
        <w:gridCol w:w="2121"/>
        <w:gridCol w:w="1229"/>
        <w:gridCol w:w="1623"/>
        <w:gridCol w:w="1229"/>
        <w:gridCol w:w="1571"/>
        <w:gridCol w:w="1229"/>
        <w:gridCol w:w="1571"/>
      </w:tblGrid>
      <w:tr w:rsidR="007710E0" w:rsidRPr="007710E0" w:rsidTr="007710E0">
        <w:trPr>
          <w:trHeight w:hRule="exact" w:val="216"/>
          <w:jc w:val="center"/>
        </w:trPr>
        <w:tc>
          <w:tcPr>
            <w:tcW w:w="0" w:type="auto"/>
            <w:vMerge w:val="restart"/>
            <w:shd w:val="clear" w:color="auto" w:fill="D9D9D9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  <w:t>Questions</w:t>
            </w: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:</w:t>
            </w:r>
          </w:p>
        </w:tc>
        <w:tc>
          <w:tcPr>
            <w:tcW w:w="0" w:type="auto"/>
            <w:gridSpan w:val="2"/>
            <w:shd w:val="clear" w:color="auto" w:fill="D9D9D9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  <w:t>Country A</w:t>
            </w:r>
          </w:p>
        </w:tc>
        <w:tc>
          <w:tcPr>
            <w:tcW w:w="0" w:type="auto"/>
            <w:gridSpan w:val="2"/>
            <w:shd w:val="clear" w:color="auto" w:fill="D9D9D9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  <w:t>Country B</w:t>
            </w:r>
          </w:p>
        </w:tc>
        <w:tc>
          <w:tcPr>
            <w:tcW w:w="0" w:type="auto"/>
            <w:gridSpan w:val="2"/>
            <w:shd w:val="clear" w:color="auto" w:fill="D9D9D9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  <w:t>Country C</w:t>
            </w: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  <w:vMerge/>
            <w:shd w:val="clear" w:color="auto" w:fill="D9D9D9"/>
          </w:tcPr>
          <w:p w:rsidR="007710E0" w:rsidRPr="007710E0" w:rsidRDefault="007710E0" w:rsidP="007710E0">
            <w:pPr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shd w:val="clear" w:color="auto" w:fill="D9D9D9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b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b/>
                <w:sz w:val="18"/>
                <w:szCs w:val="18"/>
                <w:lang w:val="en-GB" w:eastAsia="en-GB"/>
              </w:rPr>
              <w:t>Responses</w:t>
            </w:r>
          </w:p>
        </w:tc>
        <w:tc>
          <w:tcPr>
            <w:tcW w:w="0" w:type="auto"/>
            <w:shd w:val="clear" w:color="auto" w:fill="D9D9D9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b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b/>
                <w:sz w:val="18"/>
                <w:szCs w:val="18"/>
                <w:lang w:val="en-GB" w:eastAsia="en-GB"/>
              </w:rPr>
              <w:t xml:space="preserve"> Variable Score</w:t>
            </w:r>
          </w:p>
        </w:tc>
        <w:tc>
          <w:tcPr>
            <w:tcW w:w="0" w:type="auto"/>
            <w:shd w:val="clear" w:color="auto" w:fill="D9D9D9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b/>
                <w:sz w:val="18"/>
                <w:szCs w:val="18"/>
                <w:lang w:val="en-GB" w:eastAsia="en-GB"/>
              </w:rPr>
              <w:t>Responses</w:t>
            </w:r>
          </w:p>
        </w:tc>
        <w:tc>
          <w:tcPr>
            <w:tcW w:w="0" w:type="auto"/>
            <w:shd w:val="clear" w:color="auto" w:fill="D9D9D9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b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b/>
                <w:sz w:val="18"/>
                <w:szCs w:val="18"/>
                <w:lang w:val="en-GB" w:eastAsia="en-GB"/>
              </w:rPr>
              <w:t>Variable Score</w:t>
            </w:r>
          </w:p>
        </w:tc>
        <w:tc>
          <w:tcPr>
            <w:tcW w:w="0" w:type="auto"/>
            <w:shd w:val="clear" w:color="auto" w:fill="D9D9D9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b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b/>
                <w:sz w:val="18"/>
                <w:szCs w:val="18"/>
                <w:lang w:val="en-GB" w:eastAsia="en-GB"/>
              </w:rPr>
              <w:t>Responses</w:t>
            </w:r>
          </w:p>
        </w:tc>
        <w:tc>
          <w:tcPr>
            <w:tcW w:w="0" w:type="auto"/>
            <w:shd w:val="clear" w:color="auto" w:fill="D9D9D9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b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b/>
                <w:sz w:val="18"/>
                <w:szCs w:val="18"/>
                <w:lang w:val="en-GB" w:eastAsia="en-GB"/>
              </w:rPr>
              <w:t>Variable Score</w:t>
            </w:r>
          </w:p>
        </w:tc>
      </w:tr>
      <w:tr w:rsidR="007710E0" w:rsidRPr="007710E0" w:rsidTr="007710E0">
        <w:trPr>
          <w:trHeight w:hRule="exact" w:val="216"/>
          <w:jc w:val="center"/>
        </w:trPr>
        <w:tc>
          <w:tcPr>
            <w:tcW w:w="0" w:type="auto"/>
            <w:gridSpan w:val="7"/>
            <w:shd w:val="clear" w:color="auto" w:fill="D9D9D9"/>
          </w:tcPr>
          <w:p w:rsidR="007710E0" w:rsidRPr="007710E0" w:rsidRDefault="007710E0" w:rsidP="007710E0">
            <w:pPr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  <w:t>General Questions</w:t>
            </w: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A.1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vMerge w:val="restart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vMerge w:val="restart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vMerge w:val="restart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A.2.1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7710E0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A.2.2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7710E0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A.2.3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7710E0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A.3.1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7710E0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A.3.2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7710E0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A.4.1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7710E0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A.4.2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7710E0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7710E0" w:rsidRPr="007710E0" w:rsidTr="007710E0">
        <w:trPr>
          <w:trHeight w:hRule="exact" w:val="216"/>
          <w:jc w:val="center"/>
        </w:trPr>
        <w:tc>
          <w:tcPr>
            <w:tcW w:w="0" w:type="auto"/>
            <w:gridSpan w:val="7"/>
            <w:shd w:val="clear" w:color="auto" w:fill="D9D9D9"/>
          </w:tcPr>
          <w:p w:rsidR="007710E0" w:rsidRPr="007710E0" w:rsidRDefault="007710E0" w:rsidP="007710E0">
            <w:pPr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  <w:t>Variable 1. UNCLOS – 10%</w:t>
            </w: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1.1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0" w:type="auto"/>
            <w:vMerge w:val="restart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0.9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 w:val="restart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  <w:p w:rsidR="007710E0" w:rsidRPr="007710E0" w:rsidRDefault="00846D03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0.5</w:t>
            </w: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vMerge w:val="restart"/>
          </w:tcPr>
          <w:p w:rsid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  <w:p w:rsidR="001036E1" w:rsidRPr="007710E0" w:rsidRDefault="001036E1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0.7</w:t>
            </w: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  <w:shd w:val="clear" w:color="auto" w:fill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1.2</w:t>
            </w:r>
          </w:p>
        </w:tc>
        <w:tc>
          <w:tcPr>
            <w:tcW w:w="0" w:type="auto"/>
            <w:shd w:val="clear" w:color="auto" w:fill="FFFFFF"/>
          </w:tcPr>
          <w:p w:rsidR="007710E0" w:rsidRPr="007710E0" w:rsidRDefault="001036E1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  <w:shd w:val="clear" w:color="auto" w:fill="FFFFFF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</w:tcPr>
          <w:p w:rsidR="007710E0" w:rsidRPr="007710E0" w:rsidRDefault="001036E1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  <w:shd w:val="clear" w:color="auto" w:fill="FFFFFF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/>
            <w:shd w:val="clear" w:color="auto" w:fill="FFFFFF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1.3.1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846D03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1.3.2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846D03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1.3.3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846D03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1.3.4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846D03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7710E0" w:rsidRPr="007710E0" w:rsidTr="007710E0">
        <w:trPr>
          <w:trHeight w:hRule="exact" w:val="216"/>
          <w:jc w:val="center"/>
        </w:trPr>
        <w:tc>
          <w:tcPr>
            <w:tcW w:w="0" w:type="auto"/>
            <w:gridSpan w:val="7"/>
            <w:shd w:val="clear" w:color="auto" w:fill="D9D9D9"/>
          </w:tcPr>
          <w:p w:rsidR="007710E0" w:rsidRPr="007710E0" w:rsidRDefault="007710E0" w:rsidP="007710E0">
            <w:pPr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  <w:t>Variable 2. Fish Stocks Agreement – 10%</w:t>
            </w: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2.1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0" w:type="auto"/>
            <w:vMerge w:val="restart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0.85</w:t>
            </w:r>
          </w:p>
        </w:tc>
        <w:tc>
          <w:tcPr>
            <w:tcW w:w="0" w:type="auto"/>
          </w:tcPr>
          <w:p w:rsidR="007710E0" w:rsidRPr="007710E0" w:rsidRDefault="00846D03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 w:val="restart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  <w:p w:rsidR="007710E0" w:rsidRPr="007710E0" w:rsidRDefault="000273D7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0.1</w:t>
            </w: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 w:val="restart"/>
          </w:tcPr>
          <w:p w:rsid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  <w:p w:rsidR="001036E1" w:rsidRPr="007710E0" w:rsidRDefault="001036E1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0.75</w:t>
            </w:r>
          </w:p>
        </w:tc>
      </w:tr>
      <w:tr w:rsidR="001036E1" w:rsidRPr="007710E0" w:rsidTr="007710E0">
        <w:trPr>
          <w:trHeight w:hRule="exact" w:val="216"/>
          <w:jc w:val="center"/>
        </w:trPr>
        <w:tc>
          <w:tcPr>
            <w:tcW w:w="0" w:type="auto"/>
            <w:shd w:val="clear" w:color="auto" w:fill="auto"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2.2</w:t>
            </w:r>
          </w:p>
        </w:tc>
        <w:tc>
          <w:tcPr>
            <w:tcW w:w="0" w:type="auto"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0" w:type="auto"/>
            <w:vMerge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</w:tcPr>
          <w:p w:rsidR="001036E1" w:rsidRPr="007710E0" w:rsidRDefault="001036E1" w:rsidP="001036E1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2.3.1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2.3.2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2.3.3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2.3.4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2.4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7710E0" w:rsidRPr="007710E0" w:rsidTr="007710E0">
        <w:trPr>
          <w:trHeight w:hRule="exact" w:val="216"/>
          <w:jc w:val="center"/>
        </w:trPr>
        <w:tc>
          <w:tcPr>
            <w:tcW w:w="0" w:type="auto"/>
            <w:gridSpan w:val="7"/>
            <w:shd w:val="clear" w:color="auto" w:fill="D9D9D9"/>
          </w:tcPr>
          <w:p w:rsidR="007710E0" w:rsidRPr="007710E0" w:rsidRDefault="007710E0" w:rsidP="007710E0">
            <w:pPr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  <w:t>Variable 3. IPOA-IUU – 30%</w:t>
            </w: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3.1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0" w:type="auto"/>
            <w:vMerge w:val="restart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0.9</w:t>
            </w: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 w:val="restart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  <w:p w:rsidR="007710E0" w:rsidRPr="007710E0" w:rsidRDefault="000273D7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0.1</w:t>
            </w: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0" w:type="auto"/>
            <w:vMerge w:val="restart"/>
          </w:tcPr>
          <w:p w:rsid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  <w:p w:rsidR="001036E1" w:rsidRPr="007710E0" w:rsidRDefault="001036E1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0.95</w:t>
            </w:r>
          </w:p>
        </w:tc>
      </w:tr>
      <w:tr w:rsidR="001036E1" w:rsidRPr="007710E0" w:rsidTr="007710E0">
        <w:trPr>
          <w:trHeight w:hRule="exact" w:val="216"/>
          <w:jc w:val="center"/>
        </w:trPr>
        <w:tc>
          <w:tcPr>
            <w:tcW w:w="0" w:type="auto"/>
            <w:shd w:val="clear" w:color="auto" w:fill="auto"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3.2</w:t>
            </w:r>
          </w:p>
        </w:tc>
        <w:tc>
          <w:tcPr>
            <w:tcW w:w="0" w:type="auto"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0" w:type="auto"/>
            <w:vMerge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</w:tcPr>
          <w:p w:rsidR="001036E1" w:rsidRPr="007710E0" w:rsidRDefault="001036E1" w:rsidP="001036E1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1036E1" w:rsidRPr="007710E0" w:rsidTr="007710E0">
        <w:trPr>
          <w:trHeight w:hRule="exact" w:val="216"/>
          <w:jc w:val="center"/>
        </w:trPr>
        <w:tc>
          <w:tcPr>
            <w:tcW w:w="0" w:type="auto"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3.3.1</w:t>
            </w:r>
          </w:p>
        </w:tc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1036E1" w:rsidRPr="007710E0" w:rsidRDefault="001036E1" w:rsidP="001036E1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1036E1" w:rsidRPr="007710E0" w:rsidTr="007710E0">
        <w:trPr>
          <w:trHeight w:hRule="exact" w:val="216"/>
          <w:jc w:val="center"/>
        </w:trPr>
        <w:tc>
          <w:tcPr>
            <w:tcW w:w="0" w:type="auto"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3.3.2</w:t>
            </w:r>
          </w:p>
        </w:tc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1036E1" w:rsidRPr="007710E0" w:rsidRDefault="001036E1" w:rsidP="001036E1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1036E1" w:rsidRPr="007710E0" w:rsidTr="007710E0">
        <w:trPr>
          <w:trHeight w:hRule="exact" w:val="216"/>
          <w:jc w:val="center"/>
        </w:trPr>
        <w:tc>
          <w:tcPr>
            <w:tcW w:w="0" w:type="auto"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3.3.3</w:t>
            </w:r>
          </w:p>
        </w:tc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1036E1" w:rsidRPr="007710E0" w:rsidRDefault="001036E1" w:rsidP="001036E1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1036E1" w:rsidRPr="007710E0" w:rsidTr="007710E0">
        <w:trPr>
          <w:trHeight w:hRule="exact" w:val="216"/>
          <w:jc w:val="center"/>
        </w:trPr>
        <w:tc>
          <w:tcPr>
            <w:tcW w:w="0" w:type="auto"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3.3.4</w:t>
            </w:r>
          </w:p>
        </w:tc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1036E1" w:rsidRPr="007710E0" w:rsidRDefault="001036E1" w:rsidP="001036E1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7710E0" w:rsidRPr="007710E0" w:rsidTr="007710E0">
        <w:trPr>
          <w:trHeight w:hRule="exact" w:val="216"/>
          <w:jc w:val="center"/>
        </w:trPr>
        <w:tc>
          <w:tcPr>
            <w:tcW w:w="0" w:type="auto"/>
            <w:gridSpan w:val="7"/>
            <w:shd w:val="clear" w:color="auto" w:fill="D9D9D9"/>
          </w:tcPr>
          <w:p w:rsidR="007710E0" w:rsidRPr="007710E0" w:rsidRDefault="007710E0" w:rsidP="007710E0">
            <w:pPr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  <w:t>Variable 4. PSMA – 30%</w:t>
            </w: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4.1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0" w:type="auto"/>
            <w:vMerge w:val="restart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0.725</w:t>
            </w: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 w:val="restart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  <w:p w:rsidR="007710E0" w:rsidRPr="007710E0" w:rsidRDefault="000273D7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 w:val="restart"/>
          </w:tcPr>
          <w:p w:rsid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  <w:p w:rsidR="001036E1" w:rsidRPr="007710E0" w:rsidRDefault="001036E1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0.725</w:t>
            </w:r>
          </w:p>
        </w:tc>
      </w:tr>
      <w:tr w:rsidR="001036E1" w:rsidRPr="007710E0" w:rsidTr="007710E0">
        <w:trPr>
          <w:trHeight w:hRule="exact" w:val="216"/>
          <w:jc w:val="center"/>
        </w:trPr>
        <w:tc>
          <w:tcPr>
            <w:tcW w:w="0" w:type="auto"/>
            <w:shd w:val="clear" w:color="auto" w:fill="auto"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4.2</w:t>
            </w:r>
          </w:p>
        </w:tc>
        <w:tc>
          <w:tcPr>
            <w:tcW w:w="0" w:type="auto"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</w:tcPr>
          <w:p w:rsidR="001036E1" w:rsidRPr="007710E0" w:rsidRDefault="001036E1" w:rsidP="001036E1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/>
            <w:shd w:val="clear" w:color="auto" w:fill="FFFFFF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4.3.1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4.3.2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0273D7" w:rsidP="000273D7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4.3.3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4.3.4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4.4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0273D7" w:rsidP="000273D7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4.5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7710E0" w:rsidRPr="007710E0" w:rsidTr="007710E0">
        <w:trPr>
          <w:trHeight w:hRule="exact" w:val="216"/>
          <w:jc w:val="center"/>
        </w:trPr>
        <w:tc>
          <w:tcPr>
            <w:tcW w:w="0" w:type="auto"/>
            <w:gridSpan w:val="7"/>
            <w:shd w:val="clear" w:color="auto" w:fill="D9D9D9"/>
          </w:tcPr>
          <w:p w:rsidR="007710E0" w:rsidRPr="007710E0" w:rsidRDefault="007710E0" w:rsidP="007710E0">
            <w:pPr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  <w:t>Variable 5. Flag State Responsibilities – 20%</w:t>
            </w:r>
          </w:p>
        </w:tc>
      </w:tr>
      <w:tr w:rsidR="001036E1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5.1</w:t>
            </w:r>
          </w:p>
        </w:tc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0" w:type="auto"/>
            <w:vMerge w:val="restart"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0.975</w:t>
            </w:r>
          </w:p>
        </w:tc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vMerge w:val="restart"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0.175</w:t>
            </w:r>
          </w:p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1036E1" w:rsidRPr="007710E0" w:rsidRDefault="001036E1" w:rsidP="001036E1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 w:val="restart"/>
          </w:tcPr>
          <w:p w:rsidR="001036E1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  <w:p w:rsidR="001036E1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n/a*</w:t>
            </w:r>
          </w:p>
        </w:tc>
      </w:tr>
      <w:tr w:rsidR="001036E1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5.2</w:t>
            </w:r>
          </w:p>
        </w:tc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1036E1" w:rsidRPr="007710E0" w:rsidRDefault="001036E1" w:rsidP="001036E1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  <w:shd w:val="clear" w:color="auto" w:fill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5.3.1</w:t>
            </w:r>
          </w:p>
        </w:tc>
        <w:tc>
          <w:tcPr>
            <w:tcW w:w="0" w:type="auto"/>
            <w:shd w:val="clear" w:color="auto" w:fill="FFFFFF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0" w:type="auto"/>
            <w:vMerge/>
            <w:shd w:val="clear" w:color="auto" w:fill="FFFFFF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</w:tcPr>
          <w:p w:rsidR="007710E0" w:rsidRPr="007710E0" w:rsidRDefault="000273D7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0" w:type="auto"/>
            <w:vMerge/>
            <w:shd w:val="clear" w:color="auto" w:fill="FFFFFF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  <w:shd w:val="clear" w:color="auto" w:fill="FFFFFF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5.3.2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5.3.3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5.3.4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5.4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5.5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5.6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5.7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0273D7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5.8</w:t>
            </w:r>
          </w:p>
        </w:tc>
        <w:tc>
          <w:tcPr>
            <w:tcW w:w="0" w:type="auto"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 w:rsidRPr="007710E0"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Yes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0273D7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</w:tcPr>
          <w:p w:rsidR="007710E0" w:rsidRPr="007710E0" w:rsidRDefault="001036E1" w:rsidP="007710E0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7710E0" w:rsidRPr="007710E0" w:rsidRDefault="007710E0" w:rsidP="007710E0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</w:p>
        </w:tc>
      </w:tr>
      <w:tr w:rsidR="001036E1" w:rsidRPr="007710E0" w:rsidTr="007710E0">
        <w:trPr>
          <w:trHeight w:hRule="exact" w:val="216"/>
          <w:jc w:val="center"/>
        </w:trPr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5.9</w:t>
            </w:r>
          </w:p>
        </w:tc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</w:tcPr>
          <w:p w:rsidR="001036E1" w:rsidRPr="007710E0" w:rsidRDefault="001036E1" w:rsidP="001036E1">
            <w:pPr>
              <w:spacing w:after="0" w:line="240" w:lineRule="auto"/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 Light" w:eastAsia="Calibri" w:hAnsi="Calibri Light" w:cs="Times New Roman"/>
                <w:sz w:val="18"/>
                <w:szCs w:val="18"/>
                <w:lang w:val="en-GB" w:eastAsia="en-GB"/>
              </w:rPr>
              <w:t>n/a</w:t>
            </w:r>
          </w:p>
        </w:tc>
        <w:tc>
          <w:tcPr>
            <w:tcW w:w="0" w:type="auto"/>
            <w:vMerge/>
          </w:tcPr>
          <w:p w:rsidR="001036E1" w:rsidRPr="007710E0" w:rsidRDefault="001036E1" w:rsidP="001036E1">
            <w:pPr>
              <w:jc w:val="center"/>
              <w:rPr>
                <w:rFonts w:ascii="Calibri" w:eastAsia="SimSun" w:hAnsi="Calibri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7710E0" w:rsidRPr="007710E0" w:rsidTr="000273D7">
        <w:trPr>
          <w:trHeight w:hRule="exact" w:val="576"/>
          <w:jc w:val="center"/>
        </w:trPr>
        <w:tc>
          <w:tcPr>
            <w:tcW w:w="0" w:type="auto"/>
          </w:tcPr>
          <w:p w:rsidR="007710E0" w:rsidRDefault="007710E0" w:rsidP="000273D7">
            <w:pPr>
              <w:spacing w:after="0" w:line="240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/>
              </w:rPr>
            </w:pPr>
            <w:r w:rsidRPr="00CF5470">
              <w:rPr>
                <w:rFonts w:ascii="Calibri" w:hAnsi="Calibri"/>
                <w:b/>
                <w:color w:val="000000"/>
                <w:sz w:val="18"/>
                <w:szCs w:val="18"/>
                <w:lang w:val="en-GB"/>
              </w:rPr>
              <w:t>Indicator Scor</w:t>
            </w:r>
            <w:r>
              <w:rPr>
                <w:rFonts w:ascii="Calibri" w:hAnsi="Calibri"/>
                <w:b/>
                <w:color w:val="000000"/>
                <w:sz w:val="18"/>
                <w:szCs w:val="18"/>
                <w:lang w:val="en-GB"/>
              </w:rPr>
              <w:t xml:space="preserve">e: </w:t>
            </w:r>
          </w:p>
          <w:p w:rsidR="000273D7" w:rsidRDefault="000273D7" w:rsidP="000273D7">
            <w:pPr>
              <w:spacing w:after="0" w:line="240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hAnsi="Calibri"/>
                <w:b/>
                <w:color w:val="000000"/>
                <w:sz w:val="18"/>
                <w:szCs w:val="18"/>
                <w:lang w:val="en-GB"/>
              </w:rPr>
              <w:t>(Weighted average)</w:t>
            </w:r>
          </w:p>
          <w:p w:rsidR="007710E0" w:rsidRDefault="007710E0" w:rsidP="000273D7">
            <w:pPr>
              <w:spacing w:after="0" w:line="240" w:lineRule="auto"/>
              <w:jc w:val="center"/>
              <w:rPr>
                <w:rFonts w:ascii="Calibri" w:hAnsi="Calibri"/>
                <w:b/>
                <w:color w:val="000000"/>
                <w:sz w:val="18"/>
                <w:szCs w:val="18"/>
                <w:lang w:val="en-GB"/>
              </w:rPr>
            </w:pPr>
          </w:p>
          <w:p w:rsidR="007710E0" w:rsidRPr="007710E0" w:rsidRDefault="007710E0" w:rsidP="000273D7">
            <w:pPr>
              <w:spacing w:after="0" w:line="240" w:lineRule="auto"/>
              <w:jc w:val="center"/>
              <w:rPr>
                <w:rFonts w:ascii="Calibri" w:eastAsia="SimSun" w:hAnsi="Calibri" w:cs="Arial"/>
                <w:b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</w:tcPr>
          <w:p w:rsidR="007710E0" w:rsidRPr="007710E0" w:rsidRDefault="007710E0" w:rsidP="007710E0">
            <w:pPr>
              <w:jc w:val="center"/>
              <w:rPr>
                <w:rFonts w:ascii="Calibri" w:eastAsia="SimSun" w:hAnsi="Calibri" w:cs="Arial"/>
                <w:b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b/>
                <w:color w:val="000000"/>
                <w:sz w:val="18"/>
                <w:szCs w:val="18"/>
                <w:lang w:val="en-GB"/>
              </w:rPr>
              <w:t>0.86</w:t>
            </w:r>
          </w:p>
        </w:tc>
        <w:tc>
          <w:tcPr>
            <w:tcW w:w="0" w:type="auto"/>
            <w:gridSpan w:val="2"/>
          </w:tcPr>
          <w:p w:rsidR="007710E0" w:rsidRPr="007710E0" w:rsidRDefault="007710E0" w:rsidP="000273D7">
            <w:pPr>
              <w:jc w:val="center"/>
              <w:rPr>
                <w:rFonts w:ascii="Calibri" w:eastAsia="SimSun" w:hAnsi="Calibri" w:cs="Arial"/>
                <w:b/>
                <w:color w:val="000000"/>
                <w:sz w:val="18"/>
                <w:szCs w:val="18"/>
                <w:lang w:val="en-GB"/>
              </w:rPr>
            </w:pPr>
            <w:r w:rsidRPr="007710E0">
              <w:rPr>
                <w:rFonts w:ascii="Calibri" w:eastAsia="SimSun" w:hAnsi="Calibri" w:cs="Arial"/>
                <w:b/>
                <w:color w:val="000000"/>
                <w:sz w:val="18"/>
                <w:szCs w:val="18"/>
                <w:lang w:val="en-GB"/>
              </w:rPr>
              <w:t>0.</w:t>
            </w:r>
            <w:r w:rsidR="001036E1">
              <w:rPr>
                <w:rFonts w:ascii="Calibri" w:eastAsia="SimSun" w:hAnsi="Calibri" w:cs="Arial"/>
                <w:b/>
                <w:color w:val="000000"/>
                <w:sz w:val="18"/>
                <w:szCs w:val="18"/>
                <w:lang w:val="en-GB"/>
              </w:rPr>
              <w:t>13</w:t>
            </w:r>
          </w:p>
        </w:tc>
        <w:tc>
          <w:tcPr>
            <w:tcW w:w="0" w:type="auto"/>
            <w:gridSpan w:val="2"/>
          </w:tcPr>
          <w:p w:rsidR="007710E0" w:rsidRPr="007710E0" w:rsidRDefault="001036E1" w:rsidP="007710E0">
            <w:pPr>
              <w:jc w:val="center"/>
              <w:rPr>
                <w:rFonts w:ascii="Calibri" w:eastAsia="SimSun" w:hAnsi="Calibri" w:cs="Arial"/>
                <w:b/>
                <w:color w:val="000000"/>
                <w:sz w:val="18"/>
                <w:szCs w:val="18"/>
                <w:lang w:val="en-GB"/>
              </w:rPr>
            </w:pPr>
            <w:r>
              <w:rPr>
                <w:rFonts w:ascii="Calibri" w:eastAsia="SimSun" w:hAnsi="Calibri" w:cs="Arial"/>
                <w:b/>
                <w:color w:val="000000"/>
                <w:sz w:val="18"/>
                <w:szCs w:val="18"/>
                <w:lang w:val="en-GB"/>
              </w:rPr>
              <w:t>0.73</w:t>
            </w:r>
          </w:p>
        </w:tc>
      </w:tr>
    </w:tbl>
    <w:p w:rsidR="00A22078" w:rsidRPr="001036E1" w:rsidRDefault="001036E1" w:rsidP="001036E1">
      <w:pPr>
        <w:pStyle w:val="ListParagraph"/>
      </w:pPr>
      <w:r>
        <w:t>*Variable not applicable, weighting divided into remaining variables</w:t>
      </w:r>
    </w:p>
    <w:sectPr w:rsidR="00A22078" w:rsidRPr="001036E1" w:rsidSect="007710E0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A5225"/>
    <w:multiLevelType w:val="hybridMultilevel"/>
    <w:tmpl w:val="75583C32"/>
    <w:lvl w:ilvl="0" w:tplc="AE9E512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943DC"/>
    <w:multiLevelType w:val="hybridMultilevel"/>
    <w:tmpl w:val="4342A060"/>
    <w:lvl w:ilvl="0" w:tplc="FD7C3B7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5D02A7"/>
    <w:multiLevelType w:val="hybridMultilevel"/>
    <w:tmpl w:val="C0226532"/>
    <w:lvl w:ilvl="0" w:tplc="6394C02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0E0"/>
    <w:rsid w:val="000273D7"/>
    <w:rsid w:val="001036E1"/>
    <w:rsid w:val="00747B16"/>
    <w:rsid w:val="007710E0"/>
    <w:rsid w:val="00846D03"/>
    <w:rsid w:val="00A2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2CFCB5-3875-46E7-A4D4-50471E25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0E0"/>
    <w:pPr>
      <w:spacing w:after="200" w:line="276" w:lineRule="auto"/>
    </w:pPr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0E0"/>
    <w:pPr>
      <w:spacing w:after="160" w:line="252" w:lineRule="auto"/>
      <w:ind w:left="720"/>
      <w:contextualSpacing/>
    </w:pPr>
    <w:rPr>
      <w:rFonts w:ascii="Calibri" w:eastAsiaTheme="minorHAnsi" w:hAnsi="Calibri" w:cs="Times New Roman"/>
      <w:lang w:val="en-GB" w:eastAsia="en-GB"/>
    </w:rPr>
  </w:style>
  <w:style w:type="table" w:styleId="TableGrid">
    <w:name w:val="Table Grid"/>
    <w:basedOn w:val="TableNormal"/>
    <w:uiPriority w:val="59"/>
    <w:rsid w:val="007710E0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Carrara, Giuliano (FIAP)</dc:creator>
  <cp:keywords/>
  <dc:description/>
  <cp:lastModifiedBy>Navarro, DorianKalamvrezos (EST)</cp:lastModifiedBy>
  <cp:revision>2</cp:revision>
  <dcterms:created xsi:type="dcterms:W3CDTF">2017-11-10T09:08:00Z</dcterms:created>
  <dcterms:modified xsi:type="dcterms:W3CDTF">2017-11-10T09:08:00Z</dcterms:modified>
</cp:coreProperties>
</file>